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879EE" w14:textId="77777777" w:rsidR="005D004D" w:rsidRPr="00344818" w:rsidRDefault="005D004D" w:rsidP="005D004D">
      <w:pPr>
        <w:rPr>
          <w:b/>
          <w:bCs/>
        </w:rPr>
      </w:pPr>
      <w:r w:rsidRPr="00344818">
        <w:rPr>
          <w:b/>
          <w:bCs/>
        </w:rPr>
        <w:t>Treatment Rates</w:t>
      </w:r>
    </w:p>
    <w:p w14:paraId="593A8B22" w14:textId="77777777" w:rsidR="005D004D" w:rsidRPr="005D004D" w:rsidRDefault="005D004D" w:rsidP="005D004D">
      <w:r w:rsidRPr="005D004D">
        <w:t>There are four approved treatment options for BMSB treatment.</w:t>
      </w:r>
    </w:p>
    <w:p w14:paraId="35F871DE" w14:textId="77777777" w:rsidR="005D004D" w:rsidRPr="005D004D" w:rsidRDefault="005D004D" w:rsidP="005D004D">
      <w:r w:rsidRPr="005D004D">
        <w:t>The approved treatments are:</w:t>
      </w:r>
    </w:p>
    <w:p w14:paraId="17351550" w14:textId="77777777" w:rsidR="005D004D" w:rsidRPr="005D004D" w:rsidRDefault="005D004D" w:rsidP="005D004D">
      <w:r w:rsidRPr="005D004D">
        <w:t>Heat</w:t>
      </w:r>
    </w:p>
    <w:p w14:paraId="6A7F525C" w14:textId="77777777" w:rsidR="005D004D" w:rsidRPr="005D004D" w:rsidRDefault="005D004D" w:rsidP="005D004D">
      <w:r w:rsidRPr="005D004D">
        <w:t>For all good types and sizes</w:t>
      </w:r>
    </w:p>
    <w:p w14:paraId="31878B62" w14:textId="77777777" w:rsidR="005D004D" w:rsidRPr="005D004D" w:rsidRDefault="005D004D" w:rsidP="005D004D">
      <w:pPr>
        <w:numPr>
          <w:ilvl w:val="0"/>
          <w:numId w:val="1"/>
        </w:numPr>
      </w:pPr>
      <w:r w:rsidRPr="005D004D">
        <w:t>56°C or higher at the coldest surface of the goods, for a minimum of 30 minutes</w:t>
      </w:r>
      <w:r w:rsidRPr="005D004D">
        <w:br/>
        <w:t>or</w:t>
      </w:r>
    </w:p>
    <w:p w14:paraId="37FB0106" w14:textId="77777777" w:rsidR="005D004D" w:rsidRPr="005D004D" w:rsidRDefault="005D004D" w:rsidP="005D004D">
      <w:pPr>
        <w:numPr>
          <w:ilvl w:val="0"/>
          <w:numId w:val="1"/>
        </w:numPr>
      </w:pPr>
      <w:r w:rsidRPr="005D004D">
        <w:t>for individual goods weighing less than 3000 kg shipped as break bulk only, 60°C or higher at the coldest surface of the goods, for a minimum of 10 minutes</w:t>
      </w:r>
    </w:p>
    <w:p w14:paraId="33631587" w14:textId="77777777" w:rsidR="005D004D" w:rsidRPr="005D004D" w:rsidRDefault="005D004D" w:rsidP="005D004D">
      <w:r w:rsidRPr="005D004D">
        <w:rPr>
          <w:b/>
          <w:bCs/>
        </w:rPr>
        <w:t>Note:</w:t>
      </w:r>
      <w:r w:rsidRPr="005D004D">
        <w:t xml:space="preserve"> Individual goods shipped as </w:t>
      </w:r>
      <w:proofErr w:type="gramStart"/>
      <w:r w:rsidRPr="005D004D">
        <w:t>break bulk</w:t>
      </w:r>
      <w:proofErr w:type="gramEnd"/>
      <w:r w:rsidRPr="005D004D">
        <w:t xml:space="preserve"> weighing less than 3000kg treated at 60°C for 10 minutes require evidence within shipping documentation that they are less than 3000kg for these treatments to be accepted.</w:t>
      </w:r>
    </w:p>
    <w:p w14:paraId="7B3DA76B" w14:textId="77777777" w:rsidR="005D004D" w:rsidRPr="005D004D" w:rsidRDefault="005D004D" w:rsidP="005D004D">
      <w:r w:rsidRPr="005D004D">
        <w:t>Methyl Bromide</w:t>
      </w:r>
    </w:p>
    <w:p w14:paraId="074CA9BD" w14:textId="77777777" w:rsidR="005D004D" w:rsidRPr="005D004D" w:rsidRDefault="005D004D" w:rsidP="005D004D">
      <w:pPr>
        <w:numPr>
          <w:ilvl w:val="0"/>
          <w:numId w:val="2"/>
        </w:numPr>
      </w:pPr>
      <w:r w:rsidRPr="005D004D">
        <w:t>A dose of 24 g/m³ or above, at 10°C or above, for a minimum of 12 hours (but less than 24 hours), and a minimum end point reading of 12 g/m³</w:t>
      </w:r>
      <w:r w:rsidRPr="005D004D">
        <w:br/>
        <w:t>or</w:t>
      </w:r>
    </w:p>
    <w:p w14:paraId="23186080" w14:textId="77777777" w:rsidR="005D004D" w:rsidRPr="005D004D" w:rsidRDefault="005D004D" w:rsidP="005D004D">
      <w:pPr>
        <w:numPr>
          <w:ilvl w:val="0"/>
          <w:numId w:val="2"/>
        </w:numPr>
      </w:pPr>
      <w:r w:rsidRPr="005D004D">
        <w:t>A dose of 24 g/m³ or above, at 10°C or above, for 24 hours or longer, and a minimum end point reading of 8 g/m³</w:t>
      </w:r>
    </w:p>
    <w:p w14:paraId="793AC1BF" w14:textId="77777777" w:rsidR="005D004D" w:rsidRPr="005D004D" w:rsidRDefault="005D004D" w:rsidP="005D004D">
      <w:r w:rsidRPr="005D004D">
        <w:t>Note:</w:t>
      </w:r>
    </w:p>
    <w:p w14:paraId="5E27C5E1" w14:textId="77777777" w:rsidR="005D004D" w:rsidRPr="005D004D" w:rsidRDefault="005D004D" w:rsidP="005D004D">
      <w:pPr>
        <w:numPr>
          <w:ilvl w:val="0"/>
          <w:numId w:val="3"/>
        </w:numPr>
      </w:pPr>
      <w:r w:rsidRPr="005D004D">
        <w:t>All start time concentration readings must be above 24 g/m³.</w:t>
      </w:r>
    </w:p>
    <w:p w14:paraId="36DF2E91" w14:textId="77777777" w:rsidR="005D004D" w:rsidRPr="005D004D" w:rsidRDefault="005D004D" w:rsidP="005D004D">
      <w:pPr>
        <w:numPr>
          <w:ilvl w:val="0"/>
          <w:numId w:val="3"/>
        </w:numPr>
      </w:pPr>
      <w:r w:rsidRPr="005D004D">
        <w:t>Dose increases to compensate for temperatures less than 10°C is NOT permitted.</w:t>
      </w:r>
    </w:p>
    <w:p w14:paraId="2B0A44BF" w14:textId="77777777" w:rsidR="005D004D" w:rsidRPr="005D004D" w:rsidRDefault="005D004D" w:rsidP="005D004D">
      <w:pPr>
        <w:numPr>
          <w:ilvl w:val="0"/>
          <w:numId w:val="3"/>
        </w:numPr>
      </w:pPr>
      <w:r w:rsidRPr="005D004D">
        <w:t>Topping up with additional fumigant at the end of treatment is NOT permitted.</w:t>
      </w:r>
    </w:p>
    <w:p w14:paraId="43FC2595" w14:textId="77777777" w:rsidR="005D004D" w:rsidRPr="005D004D" w:rsidRDefault="005D004D" w:rsidP="005D004D">
      <w:pPr>
        <w:numPr>
          <w:ilvl w:val="0"/>
          <w:numId w:val="3"/>
        </w:numPr>
      </w:pPr>
      <w:r w:rsidRPr="005D004D">
        <w:t>If the concentration of fumigant falls below the minimum end point reading at any point during the treatment, the treatment has failed.</w:t>
      </w:r>
    </w:p>
    <w:p w14:paraId="3B3AA8EF" w14:textId="77777777" w:rsidR="005D004D" w:rsidRPr="005D004D" w:rsidRDefault="005D004D" w:rsidP="005D004D">
      <w:r w:rsidRPr="005D004D">
        <w:t>Sulfuryl Fluoride</w:t>
      </w:r>
    </w:p>
    <w:p w14:paraId="546FB090" w14:textId="77777777" w:rsidR="005D004D" w:rsidRPr="005D004D" w:rsidRDefault="005D004D" w:rsidP="005D004D">
      <w:pPr>
        <w:numPr>
          <w:ilvl w:val="0"/>
          <w:numId w:val="4"/>
        </w:numPr>
      </w:pPr>
      <w:r w:rsidRPr="005D004D">
        <w:t>A dose of 24 g/m³ or above, at 10°C or above, for a minimum of 12 hours (but less than 24 hours), and a minimum end point reading of 12 g/m³</w:t>
      </w:r>
      <w:r w:rsidRPr="005D004D">
        <w:br/>
        <w:t>or</w:t>
      </w:r>
    </w:p>
    <w:p w14:paraId="5BD5790D" w14:textId="77777777" w:rsidR="005D004D" w:rsidRPr="005D004D" w:rsidRDefault="005D004D" w:rsidP="005D004D">
      <w:pPr>
        <w:numPr>
          <w:ilvl w:val="0"/>
          <w:numId w:val="4"/>
        </w:numPr>
      </w:pPr>
      <w:r w:rsidRPr="005D004D">
        <w:t>A dose of 24 g/m³ or above, at 10°C or above, for 24 hours or longer, and a minimum end point reading of 8 g/m³</w:t>
      </w:r>
    </w:p>
    <w:p w14:paraId="2791C16A" w14:textId="77777777" w:rsidR="005D004D" w:rsidRPr="005D004D" w:rsidRDefault="005D004D" w:rsidP="005D004D">
      <w:r w:rsidRPr="005D004D">
        <w:t>Note:</w:t>
      </w:r>
    </w:p>
    <w:p w14:paraId="1DB5C33F" w14:textId="77777777" w:rsidR="005D004D" w:rsidRPr="005D004D" w:rsidRDefault="005D004D" w:rsidP="005D004D">
      <w:pPr>
        <w:numPr>
          <w:ilvl w:val="0"/>
          <w:numId w:val="5"/>
        </w:numPr>
      </w:pPr>
      <w:r w:rsidRPr="005D004D">
        <w:lastRenderedPageBreak/>
        <w:t>All start time concentration readings must be above 24 g/m³.</w:t>
      </w:r>
    </w:p>
    <w:p w14:paraId="61100327" w14:textId="77777777" w:rsidR="005D004D" w:rsidRPr="005D004D" w:rsidRDefault="005D004D" w:rsidP="005D004D">
      <w:pPr>
        <w:numPr>
          <w:ilvl w:val="0"/>
          <w:numId w:val="5"/>
        </w:numPr>
      </w:pPr>
      <w:r w:rsidRPr="005D004D">
        <w:t>Dose increases to compensate for temperatures less than 10°C is NOT permitted.</w:t>
      </w:r>
    </w:p>
    <w:p w14:paraId="3E55E302" w14:textId="77777777" w:rsidR="005D004D" w:rsidRPr="005D004D" w:rsidRDefault="005D004D" w:rsidP="005D004D">
      <w:pPr>
        <w:numPr>
          <w:ilvl w:val="0"/>
          <w:numId w:val="5"/>
        </w:numPr>
      </w:pPr>
      <w:r w:rsidRPr="005D004D">
        <w:t>Topping up with additional fumigant at the end of treatment is NOT permitted.</w:t>
      </w:r>
    </w:p>
    <w:p w14:paraId="7FF29685" w14:textId="77777777" w:rsidR="005D004D" w:rsidRPr="005D004D" w:rsidRDefault="005D004D" w:rsidP="005D004D">
      <w:pPr>
        <w:numPr>
          <w:ilvl w:val="0"/>
          <w:numId w:val="5"/>
        </w:numPr>
      </w:pPr>
      <w:r w:rsidRPr="005D004D">
        <w:t>If the concentration of fumigant falls below the minimum end point reading at any point during the treatment, the treatment has failed.</w:t>
      </w:r>
    </w:p>
    <w:p w14:paraId="18856182" w14:textId="77777777" w:rsidR="005D004D" w:rsidRPr="005D004D" w:rsidRDefault="005D004D" w:rsidP="005D004D">
      <w:r w:rsidRPr="005D004D">
        <w:t>Sulfuryl Fluoride – Using third-party system*</w:t>
      </w:r>
    </w:p>
    <w:p w14:paraId="4FFA6F00" w14:textId="77777777" w:rsidR="005D004D" w:rsidRPr="005D004D" w:rsidRDefault="005D004D" w:rsidP="005D004D">
      <w:pPr>
        <w:numPr>
          <w:ilvl w:val="0"/>
          <w:numId w:val="6"/>
        </w:numPr>
      </w:pPr>
      <w:r w:rsidRPr="005D004D">
        <w:t>Achieve a CT of 200 g-h/m³ or more, at 10°c or above, for 12 hours or longer, with a minimum end point reading of 12 g/m³</w:t>
      </w:r>
      <w:r w:rsidRPr="005D004D">
        <w:br/>
        <w:t>or</w:t>
      </w:r>
    </w:p>
    <w:p w14:paraId="5581245F" w14:textId="77777777" w:rsidR="005D004D" w:rsidRPr="005D004D" w:rsidRDefault="005D004D" w:rsidP="005D004D">
      <w:pPr>
        <w:numPr>
          <w:ilvl w:val="0"/>
          <w:numId w:val="6"/>
        </w:numPr>
      </w:pPr>
      <w:r w:rsidRPr="005D004D">
        <w:t>Achieve a CT of 200 g-h/m³ or more, at 10°C or above, for 24 hours or longer, with a minimum end point reading of 8 g/m³</w:t>
      </w:r>
    </w:p>
    <w:p w14:paraId="565D3464" w14:textId="77777777" w:rsidR="005D004D" w:rsidRPr="005D004D" w:rsidRDefault="005D004D" w:rsidP="005D004D">
      <w:r w:rsidRPr="005D004D">
        <w:t>*Note:</w:t>
      </w:r>
    </w:p>
    <w:p w14:paraId="50AFBF09" w14:textId="77777777" w:rsidR="005D004D" w:rsidRPr="005D004D" w:rsidRDefault="005D004D" w:rsidP="005D004D">
      <w:r w:rsidRPr="005D004D">
        <w:t xml:space="preserve">The approved stewardship program operators and their </w:t>
      </w:r>
      <w:proofErr w:type="gramStart"/>
      <w:r w:rsidRPr="005D004D">
        <w:t>third party</w:t>
      </w:r>
      <w:proofErr w:type="gramEnd"/>
      <w:r w:rsidRPr="005D004D">
        <w:t xml:space="preserve"> programs are:</w:t>
      </w:r>
    </w:p>
    <w:p w14:paraId="0140ACE4" w14:textId="77777777" w:rsidR="005D004D" w:rsidRPr="005D004D" w:rsidRDefault="005D004D" w:rsidP="005D004D">
      <w:pPr>
        <w:numPr>
          <w:ilvl w:val="0"/>
          <w:numId w:val="7"/>
        </w:numPr>
      </w:pPr>
      <w:r w:rsidRPr="005D004D">
        <w:t xml:space="preserve">Douglas Products or their agents - </w:t>
      </w:r>
      <w:proofErr w:type="spellStart"/>
      <w:r w:rsidRPr="005D004D">
        <w:t>FumiGuide</w:t>
      </w:r>
      <w:proofErr w:type="spellEnd"/>
    </w:p>
    <w:p w14:paraId="29355A88" w14:textId="77777777" w:rsidR="005D004D" w:rsidRPr="005D004D" w:rsidRDefault="005D004D" w:rsidP="005D004D">
      <w:pPr>
        <w:numPr>
          <w:ilvl w:val="0"/>
          <w:numId w:val="7"/>
        </w:numPr>
      </w:pPr>
      <w:proofErr w:type="spellStart"/>
      <w:r w:rsidRPr="005D004D">
        <w:t>Ensystex</w:t>
      </w:r>
      <w:proofErr w:type="spellEnd"/>
      <w:r w:rsidRPr="005D004D">
        <w:t xml:space="preserve"> II, Inc. (USA) - </w:t>
      </w:r>
      <w:proofErr w:type="spellStart"/>
      <w:r w:rsidRPr="005D004D">
        <w:t>Fumicalc</w:t>
      </w:r>
      <w:proofErr w:type="spellEnd"/>
    </w:p>
    <w:p w14:paraId="7EDED39E" w14:textId="77777777" w:rsidR="005D004D" w:rsidRPr="005D004D" w:rsidRDefault="005D004D" w:rsidP="005D004D">
      <w:pPr>
        <w:numPr>
          <w:ilvl w:val="0"/>
          <w:numId w:val="7"/>
        </w:numPr>
      </w:pPr>
      <w:proofErr w:type="spellStart"/>
      <w:r w:rsidRPr="005D004D">
        <w:t>Barcan</w:t>
      </w:r>
      <w:proofErr w:type="spellEnd"/>
      <w:r w:rsidRPr="005D004D">
        <w:t xml:space="preserve"> </w:t>
      </w:r>
      <w:proofErr w:type="spellStart"/>
      <w:r w:rsidRPr="005D004D">
        <w:t>Barcan</w:t>
      </w:r>
      <w:proofErr w:type="spellEnd"/>
      <w:r w:rsidRPr="005D004D">
        <w:t xml:space="preserve"> Pest Control &amp; Fumigation Co. (</w:t>
      </w:r>
      <w:proofErr w:type="spellStart"/>
      <w:r w:rsidRPr="005D004D">
        <w:t>Barcan</w:t>
      </w:r>
      <w:proofErr w:type="spellEnd"/>
      <w:r w:rsidRPr="005D004D">
        <w:t xml:space="preserve"> </w:t>
      </w:r>
      <w:proofErr w:type="spellStart"/>
      <w:r w:rsidRPr="005D004D">
        <w:t>ilaclama</w:t>
      </w:r>
      <w:proofErr w:type="spellEnd"/>
      <w:r w:rsidRPr="005D004D">
        <w:t xml:space="preserve"> </w:t>
      </w:r>
      <w:proofErr w:type="spellStart"/>
      <w:r w:rsidRPr="005D004D">
        <w:t>Fumigasyon</w:t>
      </w:r>
      <w:proofErr w:type="spellEnd"/>
      <w:r w:rsidRPr="005D004D">
        <w:t xml:space="preserve"> Tic. </w:t>
      </w:r>
      <w:proofErr w:type="spellStart"/>
      <w:r w:rsidRPr="005D004D">
        <w:t>Ltd.Sti</w:t>
      </w:r>
      <w:proofErr w:type="spellEnd"/>
      <w:r w:rsidRPr="005D004D">
        <w:t xml:space="preserve">.) (Turkey) - </w:t>
      </w:r>
      <w:proofErr w:type="spellStart"/>
      <w:r w:rsidRPr="005D004D">
        <w:t>FumiTrack</w:t>
      </w:r>
      <w:proofErr w:type="spellEnd"/>
    </w:p>
    <w:p w14:paraId="4569534A" w14:textId="77777777" w:rsidR="005D004D" w:rsidRPr="005D004D" w:rsidRDefault="005D004D" w:rsidP="005D004D">
      <w:r w:rsidRPr="005D004D">
        <w:t>Topping up with additional fumigant at the end of treatment is NOT permitted. If the concentration of fumigant falls below the minimum end point reading at any point during the treatment, the treatment has failed.</w:t>
      </w:r>
    </w:p>
    <w:p w14:paraId="74AD1BEA" w14:textId="77777777" w:rsidR="005D004D" w:rsidRPr="005D004D" w:rsidRDefault="005D004D" w:rsidP="005D004D">
      <w:r w:rsidRPr="005D004D">
        <w:t xml:space="preserve">Ethyl </w:t>
      </w:r>
      <w:proofErr w:type="spellStart"/>
      <w:r w:rsidRPr="005D004D">
        <w:t>Formate</w:t>
      </w:r>
      <w:proofErr w:type="spellEnd"/>
    </w:p>
    <w:p w14:paraId="3014DEA3" w14:textId="77777777" w:rsidR="005D004D" w:rsidRPr="005D004D" w:rsidRDefault="005D004D" w:rsidP="005D004D">
      <w:r w:rsidRPr="005D004D">
        <w:t xml:space="preserve">All ethyl </w:t>
      </w:r>
      <w:proofErr w:type="spellStart"/>
      <w:r w:rsidRPr="005D004D">
        <w:t>formate</w:t>
      </w:r>
      <w:proofErr w:type="spellEnd"/>
      <w:r w:rsidRPr="005D004D">
        <w:t xml:space="preserve"> treatments must be performed at 10°C and above.</w:t>
      </w:r>
    </w:p>
    <w:p w14:paraId="2BADEC28" w14:textId="77777777" w:rsidR="005D004D" w:rsidRPr="005D004D" w:rsidRDefault="005D004D" w:rsidP="005D004D">
      <w:r w:rsidRPr="005D004D">
        <w:rPr>
          <w:b/>
          <w:bCs/>
        </w:rPr>
        <w:t xml:space="preserve">For a formulation of 16.7% ethyl </w:t>
      </w:r>
      <w:proofErr w:type="spellStart"/>
      <w:r w:rsidRPr="005D004D">
        <w:rPr>
          <w:b/>
          <w:bCs/>
        </w:rPr>
        <w:t>formate</w:t>
      </w:r>
      <w:proofErr w:type="spellEnd"/>
      <w:r w:rsidRPr="005D004D">
        <w:rPr>
          <w:b/>
          <w:bCs/>
        </w:rPr>
        <w:t xml:space="preserve"> with 83.3% carbon dioxide</w:t>
      </w:r>
    </w:p>
    <w:tbl>
      <w:tblPr>
        <w:tblW w:w="0" w:type="dxa"/>
        <w:shd w:val="clear" w:color="auto" w:fill="FFFFFF"/>
        <w:tblCellMar>
          <w:top w:w="15" w:type="dxa"/>
          <w:left w:w="15" w:type="dxa"/>
          <w:bottom w:w="15" w:type="dxa"/>
          <w:right w:w="15" w:type="dxa"/>
        </w:tblCellMar>
        <w:tblLook w:val="04A0" w:firstRow="1" w:lastRow="0" w:firstColumn="1" w:lastColumn="0" w:noHBand="0" w:noVBand="1"/>
      </w:tblPr>
      <w:tblGrid>
        <w:gridCol w:w="1818"/>
        <w:gridCol w:w="1817"/>
        <w:gridCol w:w="1718"/>
        <w:gridCol w:w="1922"/>
        <w:gridCol w:w="1735"/>
      </w:tblGrid>
      <w:tr w:rsidR="005D004D" w:rsidRPr="005D004D" w14:paraId="4D7518CA" w14:textId="77777777" w:rsidTr="005D004D">
        <w:trPr>
          <w:tblHeader/>
        </w:trPr>
        <w:tc>
          <w:tcPr>
            <w:tcW w:w="0" w:type="auto"/>
            <w:tcBorders>
              <w:top w:val="single" w:sz="6" w:space="0" w:color="C1C1C1"/>
              <w:left w:val="single" w:sz="6" w:space="0" w:color="AFC3B8"/>
              <w:bottom w:val="single" w:sz="6" w:space="0" w:color="FFFFFF"/>
              <w:right w:val="single" w:sz="6" w:space="0" w:color="FFFFFF"/>
            </w:tcBorders>
            <w:shd w:val="clear" w:color="auto" w:fill="AFC3B8"/>
            <w:hideMark/>
          </w:tcPr>
          <w:p w14:paraId="4A49854F" w14:textId="77777777" w:rsidR="005D004D" w:rsidRPr="005D004D" w:rsidRDefault="005D004D" w:rsidP="005D004D">
            <w:pPr>
              <w:rPr>
                <w:b/>
                <w:bCs/>
              </w:rPr>
            </w:pPr>
            <w:r w:rsidRPr="005D004D">
              <w:rPr>
                <w:b/>
                <w:bCs/>
              </w:rPr>
              <w:t>Minimum </w:t>
            </w:r>
            <w:r w:rsidRPr="005D004D">
              <w:rPr>
                <w:b/>
                <w:bCs/>
              </w:rPr>
              <w:br/>
              <w:t>initial dose rate for </w:t>
            </w:r>
            <w:r w:rsidRPr="005D004D">
              <w:rPr>
                <w:b/>
                <w:bCs/>
              </w:rPr>
              <w:br/>
              <w:t xml:space="preserve">ethyl </w:t>
            </w:r>
            <w:proofErr w:type="spellStart"/>
            <w:r w:rsidRPr="005D004D">
              <w:rPr>
                <w:b/>
                <w:bCs/>
              </w:rPr>
              <w:t>formate</w:t>
            </w:r>
            <w:proofErr w:type="spellEnd"/>
          </w:p>
        </w:tc>
        <w:tc>
          <w:tcPr>
            <w:tcW w:w="0" w:type="auto"/>
            <w:tcBorders>
              <w:top w:val="single" w:sz="6" w:space="0" w:color="C1C1C1"/>
              <w:left w:val="single" w:sz="6" w:space="0" w:color="FFFFFF"/>
              <w:bottom w:val="single" w:sz="6" w:space="0" w:color="FFFFFF"/>
              <w:right w:val="single" w:sz="6" w:space="0" w:color="FFFFFF"/>
            </w:tcBorders>
            <w:shd w:val="clear" w:color="auto" w:fill="AFC3B8"/>
            <w:hideMark/>
          </w:tcPr>
          <w:p w14:paraId="018C0C2F" w14:textId="77777777" w:rsidR="005D004D" w:rsidRPr="005D004D" w:rsidRDefault="005D004D" w:rsidP="005D004D">
            <w:pPr>
              <w:rPr>
                <w:b/>
                <w:bCs/>
              </w:rPr>
            </w:pPr>
            <w:r w:rsidRPr="005D004D">
              <w:rPr>
                <w:b/>
                <w:bCs/>
              </w:rPr>
              <w:t>Minimum </w:t>
            </w:r>
            <w:r w:rsidRPr="005D004D">
              <w:rPr>
                <w:b/>
                <w:bCs/>
              </w:rPr>
              <w:br/>
              <w:t>initial dose rate for </w:t>
            </w:r>
            <w:r w:rsidRPr="005D004D">
              <w:rPr>
                <w:b/>
                <w:bCs/>
              </w:rPr>
              <w:br/>
              <w:t>carbon dioxide </w:t>
            </w:r>
          </w:p>
        </w:tc>
        <w:tc>
          <w:tcPr>
            <w:tcW w:w="0" w:type="auto"/>
            <w:tcBorders>
              <w:top w:val="single" w:sz="6" w:space="0" w:color="C1C1C1"/>
              <w:left w:val="single" w:sz="6" w:space="0" w:color="FFFFFF"/>
              <w:bottom w:val="single" w:sz="6" w:space="0" w:color="FFFFFF"/>
              <w:right w:val="single" w:sz="6" w:space="0" w:color="FFFFFF"/>
            </w:tcBorders>
            <w:shd w:val="clear" w:color="auto" w:fill="AFC3B8"/>
            <w:hideMark/>
          </w:tcPr>
          <w:p w14:paraId="74BC0A70" w14:textId="77777777" w:rsidR="005D004D" w:rsidRPr="005D004D" w:rsidRDefault="005D004D" w:rsidP="005D004D">
            <w:pPr>
              <w:rPr>
                <w:b/>
                <w:bCs/>
              </w:rPr>
            </w:pPr>
            <w:r w:rsidRPr="005D004D">
              <w:rPr>
                <w:b/>
                <w:bCs/>
              </w:rPr>
              <w:t>Exposure period</w:t>
            </w:r>
          </w:p>
        </w:tc>
        <w:tc>
          <w:tcPr>
            <w:tcW w:w="0" w:type="auto"/>
            <w:tcBorders>
              <w:top w:val="single" w:sz="6" w:space="0" w:color="C1C1C1"/>
              <w:left w:val="single" w:sz="6" w:space="0" w:color="FFFFFF"/>
              <w:bottom w:val="single" w:sz="6" w:space="0" w:color="FFFFFF"/>
              <w:right w:val="single" w:sz="6" w:space="0" w:color="FFFFFF"/>
            </w:tcBorders>
            <w:shd w:val="clear" w:color="auto" w:fill="AFC3B8"/>
            <w:hideMark/>
          </w:tcPr>
          <w:p w14:paraId="6CE960B3" w14:textId="77777777" w:rsidR="005D004D" w:rsidRPr="005D004D" w:rsidRDefault="005D004D" w:rsidP="005D004D">
            <w:pPr>
              <w:rPr>
                <w:b/>
                <w:bCs/>
              </w:rPr>
            </w:pPr>
            <w:r w:rsidRPr="005D004D">
              <w:rPr>
                <w:b/>
                <w:bCs/>
              </w:rPr>
              <w:t>Minimum</w:t>
            </w:r>
            <w:r w:rsidRPr="005D004D">
              <w:rPr>
                <w:b/>
                <w:bCs/>
              </w:rPr>
              <w:br/>
              <w:t>end point reading for</w:t>
            </w:r>
            <w:r w:rsidRPr="005D004D">
              <w:rPr>
                <w:b/>
                <w:bCs/>
              </w:rPr>
              <w:br/>
              <w:t xml:space="preserve">ethyl </w:t>
            </w:r>
            <w:proofErr w:type="spellStart"/>
            <w:r w:rsidRPr="005D004D">
              <w:rPr>
                <w:b/>
                <w:bCs/>
              </w:rPr>
              <w:t>formate</w:t>
            </w:r>
            <w:proofErr w:type="spellEnd"/>
          </w:p>
        </w:tc>
        <w:tc>
          <w:tcPr>
            <w:tcW w:w="0" w:type="auto"/>
            <w:tcBorders>
              <w:top w:val="single" w:sz="6" w:space="0" w:color="C1C1C1"/>
              <w:left w:val="single" w:sz="6" w:space="0" w:color="FFFFFF"/>
              <w:bottom w:val="single" w:sz="6" w:space="0" w:color="FFFFFF"/>
              <w:right w:val="single" w:sz="6" w:space="0" w:color="AFC3B8"/>
            </w:tcBorders>
            <w:shd w:val="clear" w:color="auto" w:fill="AFC3B8"/>
            <w:hideMark/>
          </w:tcPr>
          <w:p w14:paraId="502F9BB4" w14:textId="77777777" w:rsidR="005D004D" w:rsidRPr="005D004D" w:rsidRDefault="005D004D" w:rsidP="005D004D">
            <w:pPr>
              <w:rPr>
                <w:b/>
                <w:bCs/>
              </w:rPr>
            </w:pPr>
            <w:r w:rsidRPr="005D004D">
              <w:rPr>
                <w:b/>
                <w:bCs/>
              </w:rPr>
              <w:t>Minimum </w:t>
            </w:r>
            <w:r w:rsidRPr="005D004D">
              <w:rPr>
                <w:b/>
                <w:bCs/>
              </w:rPr>
              <w:br/>
              <w:t>end point reading </w:t>
            </w:r>
            <w:r w:rsidRPr="005D004D">
              <w:rPr>
                <w:b/>
                <w:bCs/>
              </w:rPr>
              <w:br/>
              <w:t>for carbon dioxide</w:t>
            </w:r>
          </w:p>
        </w:tc>
      </w:tr>
      <w:tr w:rsidR="005D004D" w:rsidRPr="005D004D" w14:paraId="2083BC8C" w14:textId="77777777" w:rsidTr="005D004D">
        <w:tc>
          <w:tcPr>
            <w:tcW w:w="0" w:type="auto"/>
            <w:tcBorders>
              <w:top w:val="single" w:sz="6" w:space="0" w:color="C1C1C1"/>
              <w:left w:val="single" w:sz="6" w:space="0" w:color="C1C1C1"/>
              <w:bottom w:val="single" w:sz="6" w:space="0" w:color="C1C1C1"/>
              <w:right w:val="single" w:sz="6" w:space="0" w:color="C1C1C1"/>
            </w:tcBorders>
            <w:shd w:val="clear" w:color="auto" w:fill="FFFFFF"/>
            <w:hideMark/>
          </w:tcPr>
          <w:p w14:paraId="2044D367" w14:textId="77777777" w:rsidR="005D004D" w:rsidRPr="005D004D" w:rsidRDefault="005D004D" w:rsidP="005D004D">
            <w:r w:rsidRPr="005D004D">
              <w:t>18 g/m³</w:t>
            </w:r>
          </w:p>
        </w:tc>
        <w:tc>
          <w:tcPr>
            <w:tcW w:w="0" w:type="auto"/>
            <w:tcBorders>
              <w:top w:val="single" w:sz="6" w:space="0" w:color="C1C1C1"/>
              <w:left w:val="single" w:sz="6" w:space="0" w:color="C1C1C1"/>
              <w:bottom w:val="single" w:sz="6" w:space="0" w:color="C1C1C1"/>
              <w:right w:val="single" w:sz="6" w:space="0" w:color="C1C1C1"/>
            </w:tcBorders>
            <w:shd w:val="clear" w:color="auto" w:fill="FFFFFF"/>
            <w:hideMark/>
          </w:tcPr>
          <w:p w14:paraId="0B6EDDFA" w14:textId="77777777" w:rsidR="005D004D" w:rsidRPr="005D004D" w:rsidRDefault="005D004D" w:rsidP="005D004D">
            <w:r w:rsidRPr="005D004D">
              <w:t>90 g/m³</w:t>
            </w:r>
          </w:p>
        </w:tc>
        <w:tc>
          <w:tcPr>
            <w:tcW w:w="0" w:type="auto"/>
            <w:tcBorders>
              <w:top w:val="single" w:sz="6" w:space="0" w:color="C1C1C1"/>
              <w:left w:val="single" w:sz="6" w:space="0" w:color="C1C1C1"/>
              <w:bottom w:val="single" w:sz="6" w:space="0" w:color="C1C1C1"/>
              <w:right w:val="single" w:sz="6" w:space="0" w:color="C1C1C1"/>
            </w:tcBorders>
            <w:shd w:val="clear" w:color="auto" w:fill="FFFFFF"/>
            <w:hideMark/>
          </w:tcPr>
          <w:p w14:paraId="37468534" w14:textId="77777777" w:rsidR="005D004D" w:rsidRPr="005D004D" w:rsidRDefault="005D004D" w:rsidP="005D004D">
            <w:r w:rsidRPr="005D004D">
              <w:t>4 hours</w:t>
            </w:r>
          </w:p>
        </w:tc>
        <w:tc>
          <w:tcPr>
            <w:tcW w:w="0" w:type="auto"/>
            <w:tcBorders>
              <w:top w:val="single" w:sz="6" w:space="0" w:color="C1C1C1"/>
              <w:left w:val="single" w:sz="6" w:space="0" w:color="C1C1C1"/>
              <w:bottom w:val="single" w:sz="6" w:space="0" w:color="C1C1C1"/>
              <w:right w:val="single" w:sz="6" w:space="0" w:color="C1C1C1"/>
            </w:tcBorders>
            <w:shd w:val="clear" w:color="auto" w:fill="FFFFFF"/>
            <w:hideMark/>
          </w:tcPr>
          <w:p w14:paraId="2770FD60" w14:textId="77777777" w:rsidR="005D004D" w:rsidRPr="005D004D" w:rsidRDefault="005D004D" w:rsidP="005D004D">
            <w:r w:rsidRPr="005D004D">
              <w:t>15 g/m³</w:t>
            </w:r>
          </w:p>
        </w:tc>
        <w:tc>
          <w:tcPr>
            <w:tcW w:w="0" w:type="auto"/>
            <w:tcBorders>
              <w:top w:val="single" w:sz="6" w:space="0" w:color="C1C1C1"/>
              <w:left w:val="single" w:sz="6" w:space="0" w:color="C1C1C1"/>
              <w:bottom w:val="single" w:sz="6" w:space="0" w:color="C1C1C1"/>
              <w:right w:val="single" w:sz="6" w:space="0" w:color="C1C1C1"/>
            </w:tcBorders>
            <w:shd w:val="clear" w:color="auto" w:fill="FFFFFF"/>
            <w:hideMark/>
          </w:tcPr>
          <w:p w14:paraId="34B50B6A" w14:textId="77777777" w:rsidR="005D004D" w:rsidRPr="005D004D" w:rsidRDefault="005D004D" w:rsidP="005D004D">
            <w:r w:rsidRPr="005D004D">
              <w:t>70 g/m³</w:t>
            </w:r>
          </w:p>
        </w:tc>
      </w:tr>
      <w:tr w:rsidR="005D004D" w:rsidRPr="005D004D" w14:paraId="56BDF69C" w14:textId="77777777" w:rsidTr="005D004D">
        <w:tc>
          <w:tcPr>
            <w:tcW w:w="0" w:type="auto"/>
            <w:tcBorders>
              <w:top w:val="single" w:sz="6" w:space="0" w:color="C1C1C1"/>
              <w:left w:val="single" w:sz="6" w:space="0" w:color="C1C1C1"/>
              <w:bottom w:val="single" w:sz="6" w:space="0" w:color="C1C1C1"/>
              <w:right w:val="single" w:sz="6" w:space="0" w:color="C1C1C1"/>
            </w:tcBorders>
            <w:shd w:val="clear" w:color="auto" w:fill="EAEAEA"/>
            <w:hideMark/>
          </w:tcPr>
          <w:p w14:paraId="78E514EE" w14:textId="77777777" w:rsidR="005D004D" w:rsidRPr="005D004D" w:rsidRDefault="005D004D" w:rsidP="005D004D">
            <w:r w:rsidRPr="005D004D">
              <w:lastRenderedPageBreak/>
              <w:t>17 g/m³</w:t>
            </w:r>
          </w:p>
        </w:tc>
        <w:tc>
          <w:tcPr>
            <w:tcW w:w="0" w:type="auto"/>
            <w:tcBorders>
              <w:top w:val="single" w:sz="6" w:space="0" w:color="C1C1C1"/>
              <w:left w:val="single" w:sz="6" w:space="0" w:color="C1C1C1"/>
              <w:bottom w:val="single" w:sz="6" w:space="0" w:color="C1C1C1"/>
              <w:right w:val="single" w:sz="6" w:space="0" w:color="C1C1C1"/>
            </w:tcBorders>
            <w:shd w:val="clear" w:color="auto" w:fill="EAEAEA"/>
            <w:hideMark/>
          </w:tcPr>
          <w:p w14:paraId="0760F902" w14:textId="77777777" w:rsidR="005D004D" w:rsidRPr="005D004D" w:rsidRDefault="005D004D" w:rsidP="005D004D">
            <w:r w:rsidRPr="005D004D">
              <w:t>85 g/m³ </w:t>
            </w:r>
          </w:p>
        </w:tc>
        <w:tc>
          <w:tcPr>
            <w:tcW w:w="0" w:type="auto"/>
            <w:tcBorders>
              <w:top w:val="single" w:sz="6" w:space="0" w:color="C1C1C1"/>
              <w:left w:val="single" w:sz="6" w:space="0" w:color="C1C1C1"/>
              <w:bottom w:val="single" w:sz="6" w:space="0" w:color="C1C1C1"/>
              <w:right w:val="single" w:sz="6" w:space="0" w:color="C1C1C1"/>
            </w:tcBorders>
            <w:shd w:val="clear" w:color="auto" w:fill="EAEAEA"/>
            <w:hideMark/>
          </w:tcPr>
          <w:p w14:paraId="2E3D6FA9" w14:textId="77777777" w:rsidR="005D004D" w:rsidRPr="005D004D" w:rsidRDefault="005D004D" w:rsidP="005D004D">
            <w:r w:rsidRPr="005D004D">
              <w:t>4 hours 5 minutes</w:t>
            </w:r>
          </w:p>
        </w:tc>
        <w:tc>
          <w:tcPr>
            <w:tcW w:w="0" w:type="auto"/>
            <w:tcBorders>
              <w:top w:val="single" w:sz="6" w:space="0" w:color="C1C1C1"/>
              <w:left w:val="single" w:sz="6" w:space="0" w:color="C1C1C1"/>
              <w:bottom w:val="single" w:sz="6" w:space="0" w:color="C1C1C1"/>
              <w:right w:val="single" w:sz="6" w:space="0" w:color="C1C1C1"/>
            </w:tcBorders>
            <w:shd w:val="clear" w:color="auto" w:fill="EAEAEA"/>
            <w:hideMark/>
          </w:tcPr>
          <w:p w14:paraId="05F16723" w14:textId="77777777" w:rsidR="005D004D" w:rsidRPr="005D004D" w:rsidRDefault="005D004D" w:rsidP="005D004D">
            <w:r w:rsidRPr="005D004D">
              <w:t>15 g/m³</w:t>
            </w:r>
          </w:p>
        </w:tc>
        <w:tc>
          <w:tcPr>
            <w:tcW w:w="0" w:type="auto"/>
            <w:tcBorders>
              <w:top w:val="single" w:sz="6" w:space="0" w:color="C1C1C1"/>
              <w:left w:val="single" w:sz="6" w:space="0" w:color="C1C1C1"/>
              <w:bottom w:val="single" w:sz="6" w:space="0" w:color="C1C1C1"/>
              <w:right w:val="single" w:sz="6" w:space="0" w:color="C1C1C1"/>
            </w:tcBorders>
            <w:shd w:val="clear" w:color="auto" w:fill="EAEAEA"/>
            <w:hideMark/>
          </w:tcPr>
          <w:p w14:paraId="190E5ACC" w14:textId="77777777" w:rsidR="005D004D" w:rsidRPr="005D004D" w:rsidRDefault="005D004D" w:rsidP="005D004D">
            <w:r w:rsidRPr="005D004D">
              <w:t>70 g/m³</w:t>
            </w:r>
          </w:p>
        </w:tc>
      </w:tr>
      <w:tr w:rsidR="005D004D" w:rsidRPr="005D004D" w14:paraId="666A53E2" w14:textId="77777777" w:rsidTr="005D004D">
        <w:tc>
          <w:tcPr>
            <w:tcW w:w="0" w:type="auto"/>
            <w:tcBorders>
              <w:top w:val="single" w:sz="6" w:space="0" w:color="C1C1C1"/>
              <w:left w:val="single" w:sz="6" w:space="0" w:color="C1C1C1"/>
              <w:bottom w:val="single" w:sz="6" w:space="0" w:color="C1C1C1"/>
              <w:right w:val="single" w:sz="6" w:space="0" w:color="C1C1C1"/>
            </w:tcBorders>
            <w:shd w:val="clear" w:color="auto" w:fill="FFFFFF"/>
            <w:hideMark/>
          </w:tcPr>
          <w:p w14:paraId="50AAA8D8" w14:textId="77777777" w:rsidR="005D004D" w:rsidRPr="005D004D" w:rsidRDefault="005D004D" w:rsidP="005D004D">
            <w:r w:rsidRPr="005D004D">
              <w:t>16 g/m³</w:t>
            </w:r>
          </w:p>
        </w:tc>
        <w:tc>
          <w:tcPr>
            <w:tcW w:w="0" w:type="auto"/>
            <w:tcBorders>
              <w:top w:val="single" w:sz="6" w:space="0" w:color="C1C1C1"/>
              <w:left w:val="single" w:sz="6" w:space="0" w:color="C1C1C1"/>
              <w:bottom w:val="single" w:sz="6" w:space="0" w:color="C1C1C1"/>
              <w:right w:val="single" w:sz="6" w:space="0" w:color="C1C1C1"/>
            </w:tcBorders>
            <w:shd w:val="clear" w:color="auto" w:fill="FFFFFF"/>
            <w:hideMark/>
          </w:tcPr>
          <w:p w14:paraId="3E1C4F12" w14:textId="77777777" w:rsidR="005D004D" w:rsidRPr="005D004D" w:rsidRDefault="005D004D" w:rsidP="005D004D">
            <w:r w:rsidRPr="005D004D">
              <w:t>80 g/m³ </w:t>
            </w:r>
          </w:p>
        </w:tc>
        <w:tc>
          <w:tcPr>
            <w:tcW w:w="0" w:type="auto"/>
            <w:tcBorders>
              <w:top w:val="single" w:sz="6" w:space="0" w:color="C1C1C1"/>
              <w:left w:val="single" w:sz="6" w:space="0" w:color="C1C1C1"/>
              <w:bottom w:val="single" w:sz="6" w:space="0" w:color="C1C1C1"/>
              <w:right w:val="single" w:sz="6" w:space="0" w:color="C1C1C1"/>
            </w:tcBorders>
            <w:shd w:val="clear" w:color="auto" w:fill="FFFFFF"/>
            <w:hideMark/>
          </w:tcPr>
          <w:p w14:paraId="5F122EE4" w14:textId="77777777" w:rsidR="005D004D" w:rsidRPr="005D004D" w:rsidRDefault="005D004D" w:rsidP="005D004D">
            <w:r w:rsidRPr="005D004D">
              <w:t>4 hours 15 minutes</w:t>
            </w:r>
          </w:p>
        </w:tc>
        <w:tc>
          <w:tcPr>
            <w:tcW w:w="0" w:type="auto"/>
            <w:tcBorders>
              <w:top w:val="single" w:sz="6" w:space="0" w:color="C1C1C1"/>
              <w:left w:val="single" w:sz="6" w:space="0" w:color="C1C1C1"/>
              <w:bottom w:val="single" w:sz="6" w:space="0" w:color="C1C1C1"/>
              <w:right w:val="single" w:sz="6" w:space="0" w:color="C1C1C1"/>
            </w:tcBorders>
            <w:shd w:val="clear" w:color="auto" w:fill="FFFFFF"/>
            <w:hideMark/>
          </w:tcPr>
          <w:p w14:paraId="579DDA5C" w14:textId="77777777" w:rsidR="005D004D" w:rsidRPr="005D004D" w:rsidRDefault="005D004D" w:rsidP="005D004D">
            <w:r w:rsidRPr="005D004D">
              <w:t>15 g/m³</w:t>
            </w:r>
          </w:p>
        </w:tc>
        <w:tc>
          <w:tcPr>
            <w:tcW w:w="0" w:type="auto"/>
            <w:tcBorders>
              <w:top w:val="single" w:sz="6" w:space="0" w:color="C1C1C1"/>
              <w:left w:val="single" w:sz="6" w:space="0" w:color="C1C1C1"/>
              <w:bottom w:val="single" w:sz="6" w:space="0" w:color="C1C1C1"/>
              <w:right w:val="single" w:sz="6" w:space="0" w:color="C1C1C1"/>
            </w:tcBorders>
            <w:shd w:val="clear" w:color="auto" w:fill="FFFFFF"/>
            <w:hideMark/>
          </w:tcPr>
          <w:p w14:paraId="5DCEED16" w14:textId="77777777" w:rsidR="005D004D" w:rsidRPr="005D004D" w:rsidRDefault="005D004D" w:rsidP="005D004D">
            <w:r w:rsidRPr="005D004D">
              <w:t>70 g/m³</w:t>
            </w:r>
          </w:p>
        </w:tc>
      </w:tr>
      <w:tr w:rsidR="005D004D" w:rsidRPr="005D004D" w14:paraId="79B02672" w14:textId="77777777" w:rsidTr="005D004D">
        <w:tc>
          <w:tcPr>
            <w:tcW w:w="0" w:type="auto"/>
            <w:tcBorders>
              <w:top w:val="single" w:sz="6" w:space="0" w:color="C1C1C1"/>
              <w:left w:val="single" w:sz="6" w:space="0" w:color="C1C1C1"/>
              <w:bottom w:val="single" w:sz="6" w:space="0" w:color="C1C1C1"/>
              <w:right w:val="single" w:sz="6" w:space="0" w:color="C1C1C1"/>
            </w:tcBorders>
            <w:shd w:val="clear" w:color="auto" w:fill="EAEAEA"/>
            <w:hideMark/>
          </w:tcPr>
          <w:p w14:paraId="1820FEB7" w14:textId="77777777" w:rsidR="005D004D" w:rsidRPr="005D004D" w:rsidRDefault="005D004D" w:rsidP="005D004D">
            <w:r w:rsidRPr="005D004D">
              <w:t>15 g/m³</w:t>
            </w:r>
          </w:p>
        </w:tc>
        <w:tc>
          <w:tcPr>
            <w:tcW w:w="0" w:type="auto"/>
            <w:tcBorders>
              <w:top w:val="single" w:sz="6" w:space="0" w:color="C1C1C1"/>
              <w:left w:val="single" w:sz="6" w:space="0" w:color="C1C1C1"/>
              <w:bottom w:val="single" w:sz="6" w:space="0" w:color="C1C1C1"/>
              <w:right w:val="single" w:sz="6" w:space="0" w:color="C1C1C1"/>
            </w:tcBorders>
            <w:shd w:val="clear" w:color="auto" w:fill="EAEAEA"/>
            <w:hideMark/>
          </w:tcPr>
          <w:p w14:paraId="44D85E63" w14:textId="77777777" w:rsidR="005D004D" w:rsidRPr="005D004D" w:rsidRDefault="005D004D" w:rsidP="005D004D">
            <w:r w:rsidRPr="005D004D">
              <w:t>75 g/m³ </w:t>
            </w:r>
          </w:p>
        </w:tc>
        <w:tc>
          <w:tcPr>
            <w:tcW w:w="0" w:type="auto"/>
            <w:tcBorders>
              <w:top w:val="single" w:sz="6" w:space="0" w:color="C1C1C1"/>
              <w:left w:val="single" w:sz="6" w:space="0" w:color="C1C1C1"/>
              <w:bottom w:val="single" w:sz="6" w:space="0" w:color="C1C1C1"/>
              <w:right w:val="single" w:sz="6" w:space="0" w:color="C1C1C1"/>
            </w:tcBorders>
            <w:shd w:val="clear" w:color="auto" w:fill="EAEAEA"/>
            <w:hideMark/>
          </w:tcPr>
          <w:p w14:paraId="3BA9E6BD" w14:textId="77777777" w:rsidR="005D004D" w:rsidRPr="005D004D" w:rsidRDefault="005D004D" w:rsidP="005D004D">
            <w:r w:rsidRPr="005D004D">
              <w:t>4 hours 30 minutes</w:t>
            </w:r>
          </w:p>
        </w:tc>
        <w:tc>
          <w:tcPr>
            <w:tcW w:w="0" w:type="auto"/>
            <w:tcBorders>
              <w:top w:val="single" w:sz="6" w:space="0" w:color="C1C1C1"/>
              <w:left w:val="single" w:sz="6" w:space="0" w:color="C1C1C1"/>
              <w:bottom w:val="single" w:sz="6" w:space="0" w:color="C1C1C1"/>
              <w:right w:val="single" w:sz="6" w:space="0" w:color="C1C1C1"/>
            </w:tcBorders>
            <w:shd w:val="clear" w:color="auto" w:fill="EAEAEA"/>
            <w:hideMark/>
          </w:tcPr>
          <w:p w14:paraId="0005B449" w14:textId="77777777" w:rsidR="005D004D" w:rsidRPr="005D004D" w:rsidRDefault="005D004D" w:rsidP="005D004D">
            <w:r w:rsidRPr="005D004D">
              <w:t>15 g/m³</w:t>
            </w:r>
          </w:p>
        </w:tc>
        <w:tc>
          <w:tcPr>
            <w:tcW w:w="0" w:type="auto"/>
            <w:tcBorders>
              <w:top w:val="single" w:sz="6" w:space="0" w:color="C1C1C1"/>
              <w:left w:val="single" w:sz="6" w:space="0" w:color="C1C1C1"/>
              <w:bottom w:val="single" w:sz="6" w:space="0" w:color="C1C1C1"/>
              <w:right w:val="single" w:sz="6" w:space="0" w:color="C1C1C1"/>
            </w:tcBorders>
            <w:shd w:val="clear" w:color="auto" w:fill="EAEAEA"/>
            <w:hideMark/>
          </w:tcPr>
          <w:p w14:paraId="75E1FCE7" w14:textId="77777777" w:rsidR="005D004D" w:rsidRPr="005D004D" w:rsidRDefault="005D004D" w:rsidP="005D004D">
            <w:r w:rsidRPr="005D004D">
              <w:t>70 g/m³</w:t>
            </w:r>
          </w:p>
        </w:tc>
      </w:tr>
    </w:tbl>
    <w:p w14:paraId="75BFED34" w14:textId="77777777" w:rsidR="005D004D" w:rsidRPr="005D004D" w:rsidRDefault="005D004D" w:rsidP="005D004D">
      <w:r w:rsidRPr="005D004D">
        <w:rPr>
          <w:b/>
          <w:bCs/>
        </w:rPr>
        <w:t>Note:</w:t>
      </w:r>
    </w:p>
    <w:p w14:paraId="5EFBE597" w14:textId="77777777" w:rsidR="005D004D" w:rsidRPr="005D004D" w:rsidRDefault="005D004D" w:rsidP="005D004D">
      <w:pPr>
        <w:numPr>
          <w:ilvl w:val="0"/>
          <w:numId w:val="8"/>
        </w:numPr>
      </w:pPr>
      <w:r w:rsidRPr="005D004D">
        <w:t>Dose increases to compensate for temperatures less than 10°C is NOT permitted.</w:t>
      </w:r>
    </w:p>
    <w:p w14:paraId="00A3BBE2" w14:textId="77777777" w:rsidR="005D004D" w:rsidRPr="005D004D" w:rsidRDefault="005D004D" w:rsidP="005D004D">
      <w:pPr>
        <w:numPr>
          <w:ilvl w:val="0"/>
          <w:numId w:val="8"/>
        </w:numPr>
      </w:pPr>
      <w:r w:rsidRPr="005D004D">
        <w:t>Topping up with additional fumigant at the end of treatment is NOT permitted.</w:t>
      </w:r>
    </w:p>
    <w:p w14:paraId="246B8167" w14:textId="77777777" w:rsidR="005D004D" w:rsidRPr="005D004D" w:rsidRDefault="005D004D" w:rsidP="005D004D">
      <w:pPr>
        <w:numPr>
          <w:ilvl w:val="0"/>
          <w:numId w:val="8"/>
        </w:numPr>
      </w:pPr>
      <w:r w:rsidRPr="005D004D">
        <w:t>If the concentration of fumigant falls below the minimum end point reading at any point during the treatment, the treatment has failed.</w:t>
      </w:r>
    </w:p>
    <w:p w14:paraId="4B501E04" w14:textId="77777777" w:rsidR="005D004D" w:rsidRPr="005D004D" w:rsidRDefault="005D004D" w:rsidP="005D004D">
      <w:r w:rsidRPr="005D004D">
        <w:t>Treatment minimum standards</w:t>
      </w:r>
    </w:p>
    <w:p w14:paraId="5B9C5D60" w14:textId="77777777" w:rsidR="005D004D" w:rsidRPr="005D004D" w:rsidRDefault="005D004D" w:rsidP="005D004D">
      <w:r w:rsidRPr="005D004D">
        <w:t>There are set </w:t>
      </w:r>
      <w:hyperlink r:id="rId5" w:tooltip="Methodologies and documents for biosecurity treatments" w:history="1">
        <w:r w:rsidRPr="005D004D">
          <w:rPr>
            <w:rStyle w:val="Hyperlink"/>
          </w:rPr>
          <w:t>minimum standards</w:t>
        </w:r>
      </w:hyperlink>
      <w:r w:rsidRPr="005D004D">
        <w:t> for the application of BMSB treatments. Treatments applied for biosecurity purposes are part of managing the risk of introducing exotic pests and diseases.</w:t>
      </w:r>
    </w:p>
    <w:p w14:paraId="18B70CD6" w14:textId="77777777" w:rsidR="005D004D" w:rsidRPr="005D004D" w:rsidRDefault="005D004D" w:rsidP="005D004D">
      <w:r w:rsidRPr="005D004D">
        <w:t>It is important that treatment providers understand these requirements as treatments to manage risk are only effective when conducted correctly. These standards outline best practice methodologies for applying biosecurity treatments.</w:t>
      </w:r>
    </w:p>
    <w:p w14:paraId="417422DE" w14:textId="77777777" w:rsidR="005D004D" w:rsidRPr="005D004D" w:rsidRDefault="005D004D" w:rsidP="005D004D">
      <w:r w:rsidRPr="005D004D">
        <w:t>Onshore treatment</w:t>
      </w:r>
    </w:p>
    <w:p w14:paraId="1F6A702C" w14:textId="77777777" w:rsidR="005D004D" w:rsidRPr="005D004D" w:rsidRDefault="005D004D" w:rsidP="005D004D">
      <w:r w:rsidRPr="005D004D">
        <w:t>Where onshore treatment of goods is permitted, you can find a </w:t>
      </w:r>
      <w:hyperlink r:id="rId6" w:tooltip="Approved arrangement search tool" w:history="1">
        <w:r w:rsidRPr="005D004D">
          <w:rPr>
            <w:rStyle w:val="Hyperlink"/>
          </w:rPr>
          <w:t>list of approved arrangement providers</w:t>
        </w:r>
      </w:hyperlink>
      <w:r w:rsidRPr="005D004D">
        <w:t> on the department’s website.</w:t>
      </w:r>
    </w:p>
    <w:p w14:paraId="515E1370" w14:textId="77777777" w:rsidR="005D004D" w:rsidRPr="005D004D" w:rsidRDefault="005D004D" w:rsidP="005D004D">
      <w:r w:rsidRPr="005D004D">
        <w:t>Offshore treatment</w:t>
      </w:r>
    </w:p>
    <w:p w14:paraId="211C8628" w14:textId="77777777" w:rsidR="005D004D" w:rsidRPr="005D004D" w:rsidRDefault="005D004D" w:rsidP="005D004D">
      <w:hyperlink r:id="rId7" w:tooltip="AusTreat pre-border biosecurity treatment provider scheme" w:history="1">
        <w:proofErr w:type="spellStart"/>
        <w:r w:rsidRPr="005D004D">
          <w:rPr>
            <w:rStyle w:val="Hyperlink"/>
          </w:rPr>
          <w:t>AusTreat</w:t>
        </w:r>
        <w:proofErr w:type="spellEnd"/>
      </w:hyperlink>
      <w:r w:rsidRPr="005D004D">
        <w:t> sets out the department’s registration and compliance requirements for offshore treatment providers, including compliance with applicable treatment methodologies.</w:t>
      </w:r>
    </w:p>
    <w:p w14:paraId="5E537788" w14:textId="77777777" w:rsidR="005D004D" w:rsidRPr="005D004D" w:rsidRDefault="005D004D" w:rsidP="005D004D">
      <w:r w:rsidRPr="005D004D">
        <w:t>Further information can be found on the </w:t>
      </w:r>
      <w:proofErr w:type="spellStart"/>
      <w:r>
        <w:fldChar w:fldCharType="begin"/>
      </w:r>
      <w:r>
        <w:instrText>HYPERLINK "https://www.agriculture.gov.au/biosecurity-trade/import/before/prepare/treatment-outside-australia/AusTreat" \o "AusTreat pre-border biosecurity treatment provider scheme"</w:instrText>
      </w:r>
      <w:r>
        <w:fldChar w:fldCharType="separate"/>
      </w:r>
      <w:r w:rsidRPr="005D004D">
        <w:rPr>
          <w:rStyle w:val="Hyperlink"/>
        </w:rPr>
        <w:t>AusTreat</w:t>
      </w:r>
      <w:proofErr w:type="spellEnd"/>
      <w:r>
        <w:fldChar w:fldCharType="end"/>
      </w:r>
      <w:r w:rsidRPr="005D004D">
        <w:t> webpage.</w:t>
      </w:r>
    </w:p>
    <w:p w14:paraId="431D95CA" w14:textId="77777777" w:rsidR="005D004D" w:rsidRPr="005D004D" w:rsidRDefault="005D004D" w:rsidP="005D004D">
      <w:r w:rsidRPr="005D004D">
        <w:t>Treatment providers in target risk countries</w:t>
      </w:r>
    </w:p>
    <w:p w14:paraId="61084A1C" w14:textId="77777777" w:rsidR="005D004D" w:rsidRPr="005D004D" w:rsidRDefault="005D004D" w:rsidP="005D004D">
      <w:r w:rsidRPr="005D004D">
        <w:lastRenderedPageBreak/>
        <w:t>All offshore treatment providers performing BMSB treatments in target risk countries must be registered under </w:t>
      </w:r>
      <w:proofErr w:type="spellStart"/>
      <w:r>
        <w:fldChar w:fldCharType="begin"/>
      </w:r>
      <w:r>
        <w:instrText>HYPERLINK "https://www.agriculture.gov.au/biosecurity-trade/import/before/prepare/treatment-outside-australia/AusTreat" \o "AusTreat pre-border biosecurity treatment provider scheme"</w:instrText>
      </w:r>
      <w:r>
        <w:fldChar w:fldCharType="separate"/>
      </w:r>
      <w:r w:rsidRPr="005D004D">
        <w:rPr>
          <w:rStyle w:val="Hyperlink"/>
        </w:rPr>
        <w:t>AusTreat</w:t>
      </w:r>
      <w:proofErr w:type="spellEnd"/>
      <w:r>
        <w:fldChar w:fldCharType="end"/>
      </w:r>
      <w:r w:rsidRPr="005D004D">
        <w:t> and listed as 'approved' on the </w:t>
      </w:r>
      <w:hyperlink r:id="rId8" w:tooltip="Pre-border Biosecurity Treatment Providers" w:history="1">
        <w:r w:rsidRPr="005D004D">
          <w:rPr>
            <w:rStyle w:val="Hyperlink"/>
          </w:rPr>
          <w:t>List of treatment providers</w:t>
        </w:r>
      </w:hyperlink>
      <w:r w:rsidRPr="005D004D">
        <w:t> prior to treatment. Treatments conducted by an unapproved treatment provider in a target risk country will be deemed as invalid and the goods will be subject to onshore treatment (if permitted) or directed for export.</w:t>
      </w:r>
    </w:p>
    <w:p w14:paraId="16100B50" w14:textId="77777777" w:rsidR="005D004D" w:rsidRPr="005D004D" w:rsidRDefault="005D004D" w:rsidP="005D004D">
      <w:r w:rsidRPr="005D004D">
        <w:t>Treatment providers in non-target risk countries</w:t>
      </w:r>
    </w:p>
    <w:p w14:paraId="008EA833" w14:textId="77777777" w:rsidR="005D004D" w:rsidRPr="005D004D" w:rsidRDefault="005D004D" w:rsidP="005D004D">
      <w:r w:rsidRPr="005D004D">
        <w:t>Treatment providers in other countries who intend to conduct BMSB treatments for goods that are manufactured in or shipped from any of the target risk countries are encouraged to register under an </w:t>
      </w:r>
      <w:hyperlink r:id="rId9" w:tooltip="Treating cargo outside Australia" w:history="1">
        <w:r w:rsidRPr="005D004D">
          <w:rPr>
            <w:rStyle w:val="Hyperlink"/>
          </w:rPr>
          <w:t>offshore treatment assurance scheme</w:t>
        </w:r>
      </w:hyperlink>
      <w:r w:rsidRPr="005D004D">
        <w:t>.</w:t>
      </w:r>
    </w:p>
    <w:p w14:paraId="7BD75F7A" w14:textId="77777777" w:rsidR="005D004D" w:rsidRPr="005D004D" w:rsidRDefault="005D004D" w:rsidP="005D004D">
      <w:r w:rsidRPr="005D004D">
        <w:t>Treatment certificates issued by a treatment provider in non-target risk country will be accepted unless the:</w:t>
      </w:r>
    </w:p>
    <w:p w14:paraId="1076B8F2" w14:textId="77777777" w:rsidR="005D004D" w:rsidRPr="005D004D" w:rsidRDefault="005D004D" w:rsidP="005D004D">
      <w:pPr>
        <w:numPr>
          <w:ilvl w:val="0"/>
          <w:numId w:val="9"/>
        </w:numPr>
      </w:pPr>
      <w:r w:rsidRPr="005D004D">
        <w:t>treatment provider is listed as ‘suspended’, 'withdrawn' or ‘under review’ on the </w:t>
      </w:r>
      <w:hyperlink r:id="rId10" w:tooltip="Pre-border Biosecurity Treatment Providers" w:history="1">
        <w:r w:rsidRPr="005D004D">
          <w:rPr>
            <w:rStyle w:val="Hyperlink"/>
          </w:rPr>
          <w:t>List of treatment providers</w:t>
        </w:r>
      </w:hyperlink>
      <w:r w:rsidRPr="005D004D">
        <w:t>,</w:t>
      </w:r>
      <w:r w:rsidRPr="005D004D">
        <w:br/>
        <w:t>or</w:t>
      </w:r>
    </w:p>
    <w:p w14:paraId="35A1D10A" w14:textId="77777777" w:rsidR="005D004D" w:rsidRPr="005D004D" w:rsidRDefault="005D004D" w:rsidP="005D004D">
      <w:pPr>
        <w:numPr>
          <w:ilvl w:val="0"/>
          <w:numId w:val="9"/>
        </w:numPr>
      </w:pPr>
      <w:r w:rsidRPr="005D004D">
        <w:t>unregistered treatment provider is listed as ‘unacceptable’ or ‘under review’ on our </w:t>
      </w:r>
      <w:hyperlink r:id="rId11" w:tooltip="Pre-border Biosecurity Treatment Providers" w:history="1">
        <w:r w:rsidRPr="005D004D">
          <w:rPr>
            <w:rStyle w:val="Hyperlink"/>
          </w:rPr>
          <w:t>webpage</w:t>
        </w:r>
      </w:hyperlink>
      <w:r w:rsidRPr="005D004D">
        <w:t>.</w:t>
      </w:r>
    </w:p>
    <w:p w14:paraId="1BDD3E28" w14:textId="77777777" w:rsidR="005D004D" w:rsidRPr="005D004D" w:rsidRDefault="005D004D" w:rsidP="005D004D">
      <w:r w:rsidRPr="005D004D">
        <w:t>Fraudulent certificates</w:t>
      </w:r>
    </w:p>
    <w:p w14:paraId="11A64FFD" w14:textId="77777777" w:rsidR="005D004D" w:rsidRPr="005D004D" w:rsidRDefault="005D004D" w:rsidP="005D004D">
      <w:r w:rsidRPr="005D004D">
        <w:t>The department continues to improve its systems to monitor and detect the use of fraudulent certificates and will identify consignments that arrive in Australia with fraudulent documentation.</w:t>
      </w:r>
    </w:p>
    <w:p w14:paraId="34574D04" w14:textId="77777777" w:rsidR="005D004D" w:rsidRPr="005D004D" w:rsidRDefault="005D004D" w:rsidP="005D004D">
      <w:r w:rsidRPr="005D004D">
        <w:t>Any consignment identified with a fraudulent certificate will be directed for onshore treatment (if permitted) or exported.</w:t>
      </w:r>
    </w:p>
    <w:p w14:paraId="350D9A94" w14:textId="77777777" w:rsidR="007231C4" w:rsidRDefault="007231C4"/>
    <w:sectPr w:rsidR="007231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46BE0"/>
    <w:multiLevelType w:val="multilevel"/>
    <w:tmpl w:val="8F0EA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717A84"/>
    <w:multiLevelType w:val="multilevel"/>
    <w:tmpl w:val="F2C89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FF30DD"/>
    <w:multiLevelType w:val="multilevel"/>
    <w:tmpl w:val="7156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6F6387"/>
    <w:multiLevelType w:val="multilevel"/>
    <w:tmpl w:val="D74C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6D6214"/>
    <w:multiLevelType w:val="multilevel"/>
    <w:tmpl w:val="CA56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DF5DC9"/>
    <w:multiLevelType w:val="multilevel"/>
    <w:tmpl w:val="6D6C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C27BC5"/>
    <w:multiLevelType w:val="multilevel"/>
    <w:tmpl w:val="13E8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9E617A"/>
    <w:multiLevelType w:val="multilevel"/>
    <w:tmpl w:val="9A24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452754"/>
    <w:multiLevelType w:val="multilevel"/>
    <w:tmpl w:val="0C74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2567270">
    <w:abstractNumId w:val="2"/>
  </w:num>
  <w:num w:numId="2" w16cid:durableId="143937014">
    <w:abstractNumId w:val="5"/>
  </w:num>
  <w:num w:numId="3" w16cid:durableId="1215846708">
    <w:abstractNumId w:val="4"/>
  </w:num>
  <w:num w:numId="4" w16cid:durableId="775907852">
    <w:abstractNumId w:val="7"/>
  </w:num>
  <w:num w:numId="5" w16cid:durableId="1575235507">
    <w:abstractNumId w:val="0"/>
  </w:num>
  <w:num w:numId="6" w16cid:durableId="1374303856">
    <w:abstractNumId w:val="1"/>
  </w:num>
  <w:num w:numId="7" w16cid:durableId="185758670">
    <w:abstractNumId w:val="3"/>
  </w:num>
  <w:num w:numId="8" w16cid:durableId="401414014">
    <w:abstractNumId w:val="6"/>
  </w:num>
  <w:num w:numId="9" w16cid:durableId="3278305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D"/>
    <w:rsid w:val="0028010D"/>
    <w:rsid w:val="00344818"/>
    <w:rsid w:val="004C507F"/>
    <w:rsid w:val="005D004D"/>
    <w:rsid w:val="007231C4"/>
    <w:rsid w:val="00BE20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D21D2"/>
  <w15:chartTrackingRefBased/>
  <w15:docId w15:val="{4EB813E5-4E0B-4033-985F-E48A2D83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04D"/>
    <w:rPr>
      <w:rFonts w:eastAsiaTheme="majorEastAsia" w:cstheme="majorBidi"/>
      <w:color w:val="272727" w:themeColor="text1" w:themeTint="D8"/>
    </w:rPr>
  </w:style>
  <w:style w:type="paragraph" w:styleId="Title">
    <w:name w:val="Title"/>
    <w:basedOn w:val="Normal"/>
    <w:next w:val="Normal"/>
    <w:link w:val="TitleChar"/>
    <w:uiPriority w:val="10"/>
    <w:qFormat/>
    <w:rsid w:val="005D0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04D"/>
    <w:pPr>
      <w:spacing w:before="160"/>
      <w:jc w:val="center"/>
    </w:pPr>
    <w:rPr>
      <w:i/>
      <w:iCs/>
      <w:color w:val="404040" w:themeColor="text1" w:themeTint="BF"/>
    </w:rPr>
  </w:style>
  <w:style w:type="character" w:customStyle="1" w:styleId="QuoteChar">
    <w:name w:val="Quote Char"/>
    <w:basedOn w:val="DefaultParagraphFont"/>
    <w:link w:val="Quote"/>
    <w:uiPriority w:val="29"/>
    <w:rsid w:val="005D004D"/>
    <w:rPr>
      <w:i/>
      <w:iCs/>
      <w:color w:val="404040" w:themeColor="text1" w:themeTint="BF"/>
    </w:rPr>
  </w:style>
  <w:style w:type="paragraph" w:styleId="ListParagraph">
    <w:name w:val="List Paragraph"/>
    <w:basedOn w:val="Normal"/>
    <w:uiPriority w:val="34"/>
    <w:qFormat/>
    <w:rsid w:val="005D004D"/>
    <w:pPr>
      <w:ind w:left="720"/>
      <w:contextualSpacing/>
    </w:pPr>
  </w:style>
  <w:style w:type="character" w:styleId="IntenseEmphasis">
    <w:name w:val="Intense Emphasis"/>
    <w:basedOn w:val="DefaultParagraphFont"/>
    <w:uiPriority w:val="21"/>
    <w:qFormat/>
    <w:rsid w:val="005D004D"/>
    <w:rPr>
      <w:i/>
      <w:iCs/>
      <w:color w:val="0F4761" w:themeColor="accent1" w:themeShade="BF"/>
    </w:rPr>
  </w:style>
  <w:style w:type="paragraph" w:styleId="IntenseQuote">
    <w:name w:val="Intense Quote"/>
    <w:basedOn w:val="Normal"/>
    <w:next w:val="Normal"/>
    <w:link w:val="IntenseQuoteChar"/>
    <w:uiPriority w:val="30"/>
    <w:qFormat/>
    <w:rsid w:val="005D0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04D"/>
    <w:rPr>
      <w:i/>
      <w:iCs/>
      <w:color w:val="0F4761" w:themeColor="accent1" w:themeShade="BF"/>
    </w:rPr>
  </w:style>
  <w:style w:type="character" w:styleId="IntenseReference">
    <w:name w:val="Intense Reference"/>
    <w:basedOn w:val="DefaultParagraphFont"/>
    <w:uiPriority w:val="32"/>
    <w:qFormat/>
    <w:rsid w:val="005D004D"/>
    <w:rPr>
      <w:b/>
      <w:bCs/>
      <w:smallCaps/>
      <w:color w:val="0F4761" w:themeColor="accent1" w:themeShade="BF"/>
      <w:spacing w:val="5"/>
    </w:rPr>
  </w:style>
  <w:style w:type="character" w:styleId="Hyperlink">
    <w:name w:val="Hyperlink"/>
    <w:basedOn w:val="DefaultParagraphFont"/>
    <w:uiPriority w:val="99"/>
    <w:unhideWhenUsed/>
    <w:rsid w:val="005D004D"/>
    <w:rPr>
      <w:color w:val="467886" w:themeColor="hyperlink"/>
      <w:u w:val="single"/>
    </w:rPr>
  </w:style>
  <w:style w:type="character" w:styleId="UnresolvedMention">
    <w:name w:val="Unresolved Mention"/>
    <w:basedOn w:val="DefaultParagraphFont"/>
    <w:uiPriority w:val="99"/>
    <w:semiHidden/>
    <w:unhideWhenUsed/>
    <w:rsid w:val="005D0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49012">
      <w:bodyDiv w:val="1"/>
      <w:marLeft w:val="0"/>
      <w:marRight w:val="0"/>
      <w:marTop w:val="0"/>
      <w:marBottom w:val="0"/>
      <w:divBdr>
        <w:top w:val="none" w:sz="0" w:space="0" w:color="auto"/>
        <w:left w:val="none" w:sz="0" w:space="0" w:color="auto"/>
        <w:bottom w:val="none" w:sz="0" w:space="0" w:color="auto"/>
        <w:right w:val="none" w:sz="0" w:space="0" w:color="auto"/>
      </w:divBdr>
      <w:divsChild>
        <w:div w:id="179122292">
          <w:marLeft w:val="0"/>
          <w:marRight w:val="0"/>
          <w:marTop w:val="0"/>
          <w:marBottom w:val="0"/>
          <w:divBdr>
            <w:top w:val="none" w:sz="0" w:space="0" w:color="auto"/>
            <w:left w:val="none" w:sz="0" w:space="0" w:color="auto"/>
            <w:bottom w:val="none" w:sz="0" w:space="0" w:color="auto"/>
            <w:right w:val="none" w:sz="0" w:space="0" w:color="auto"/>
          </w:divBdr>
          <w:divsChild>
            <w:div w:id="63579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9055">
      <w:bodyDiv w:val="1"/>
      <w:marLeft w:val="0"/>
      <w:marRight w:val="0"/>
      <w:marTop w:val="0"/>
      <w:marBottom w:val="0"/>
      <w:divBdr>
        <w:top w:val="none" w:sz="0" w:space="0" w:color="auto"/>
        <w:left w:val="none" w:sz="0" w:space="0" w:color="auto"/>
        <w:bottom w:val="none" w:sz="0" w:space="0" w:color="auto"/>
        <w:right w:val="none" w:sz="0" w:space="0" w:color="auto"/>
      </w:divBdr>
      <w:divsChild>
        <w:div w:id="250430374">
          <w:marLeft w:val="0"/>
          <w:marRight w:val="0"/>
          <w:marTop w:val="0"/>
          <w:marBottom w:val="0"/>
          <w:divBdr>
            <w:top w:val="none" w:sz="0" w:space="0" w:color="auto"/>
            <w:left w:val="none" w:sz="0" w:space="0" w:color="auto"/>
            <w:bottom w:val="none" w:sz="0" w:space="0" w:color="auto"/>
            <w:right w:val="none" w:sz="0" w:space="0" w:color="auto"/>
          </w:divBdr>
          <w:divsChild>
            <w:div w:id="203214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biosecurity-trade/import/before/prepare/treatment-outside-australia/pre-border-biosecurity-treatment-provid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griculture.gov.au/biosecurity-trade/import/before/prepare/treatment-outside-australia/AusTre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riculture.gov.au/biosecurity-trade/import/arrival/arrangements/sites" TargetMode="External"/><Relationship Id="rId11" Type="http://schemas.openxmlformats.org/officeDocument/2006/relationships/hyperlink" Target="https://www.agriculture.gov.au/biosecurity-trade/import/before/prepare/treatment-outside-australia/pre-border-biosecurity-treatment-providers" TargetMode="External"/><Relationship Id="rId5" Type="http://schemas.openxmlformats.org/officeDocument/2006/relationships/hyperlink" Target="https://www.agriculture.gov.au/biosecurity-trade/import/arrival/treatments/treatments-fumigants" TargetMode="External"/><Relationship Id="rId10" Type="http://schemas.openxmlformats.org/officeDocument/2006/relationships/hyperlink" Target="https://www.agriculture.gov.au/biosecurity-trade/import/before/prepare/treatment-outside-australia/pre-border-biosecurity-treatment-providers" TargetMode="External"/><Relationship Id="rId4" Type="http://schemas.openxmlformats.org/officeDocument/2006/relationships/webSettings" Target="webSettings.xml"/><Relationship Id="rId9" Type="http://schemas.openxmlformats.org/officeDocument/2006/relationships/hyperlink" Target="https://www.agriculture.gov.au/biosecurity-trade/import/before/prepare/treatment-outside-austra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6255</Characters>
  <Application>Microsoft Office Word</Application>
  <DocSecurity>0</DocSecurity>
  <Lines>52</Lines>
  <Paragraphs>14</Paragraphs>
  <ScaleCrop>false</ScaleCrop>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Henry</dc:creator>
  <cp:keywords/>
  <dc:description/>
  <cp:lastModifiedBy>Samantha Henry</cp:lastModifiedBy>
  <cp:revision>2</cp:revision>
  <dcterms:created xsi:type="dcterms:W3CDTF">2026-08-12T05:30:00Z</dcterms:created>
  <dcterms:modified xsi:type="dcterms:W3CDTF">2026-08-12T05:44:00Z</dcterms:modified>
</cp:coreProperties>
</file>